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7"/>
        <w:gridCol w:w="1598"/>
        <w:gridCol w:w="1422"/>
      </w:tblGrid>
      <w:tr w:rsidR="00840087" w:rsidRPr="00FC7811" w14:paraId="52612EDE" w14:textId="77777777" w:rsidTr="00840087">
        <w:tc>
          <w:tcPr>
            <w:tcW w:w="6047" w:type="dxa"/>
          </w:tcPr>
          <w:p w14:paraId="0DD9CB84" w14:textId="77777777" w:rsidR="00840087" w:rsidRPr="00FC7811" w:rsidRDefault="00840087" w:rsidP="00AA0CA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Thema</w:t>
            </w:r>
          </w:p>
        </w:tc>
        <w:tc>
          <w:tcPr>
            <w:tcW w:w="1598" w:type="dxa"/>
          </w:tcPr>
          <w:p w14:paraId="77613D6C" w14:textId="77777777" w:rsidR="00840087" w:rsidRPr="00FC7811" w:rsidRDefault="00840087" w:rsidP="00AA0CA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genehmigt</w:t>
            </w:r>
          </w:p>
        </w:tc>
        <w:tc>
          <w:tcPr>
            <w:tcW w:w="1422" w:type="dxa"/>
          </w:tcPr>
          <w:p w14:paraId="687E5A75" w14:textId="77777777" w:rsidR="00840087" w:rsidRPr="00FC7811" w:rsidRDefault="00840087" w:rsidP="00AA0CA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in Kraft ab</w:t>
            </w:r>
          </w:p>
        </w:tc>
      </w:tr>
      <w:tr w:rsidR="00840087" w:rsidRPr="00FC7811" w14:paraId="1232030A" w14:textId="77777777" w:rsidTr="00840087">
        <w:tc>
          <w:tcPr>
            <w:tcW w:w="6047" w:type="dxa"/>
          </w:tcPr>
          <w:p w14:paraId="754FD7DB" w14:textId="77777777" w:rsidR="00840087" w:rsidRPr="00FC7811" w:rsidRDefault="00840087" w:rsidP="00AA0CA0">
            <w:pPr>
              <w:pStyle w:val="berschrift3"/>
              <w:rPr>
                <w:rFonts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  <w:bookmarkStart w:id="0" w:name="_Toc220241542"/>
            <w:bookmarkStart w:id="1" w:name="_Toc232870595"/>
            <w:r w:rsidRPr="00FC7811"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  <w:t>AHV: AHV-Vorbezug</w:t>
            </w:r>
            <w:bookmarkEnd w:id="0"/>
            <w:bookmarkEnd w:id="1"/>
            <w:r w:rsidRPr="00FC7811"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</w:tcPr>
          <w:p w14:paraId="1318EB44" w14:textId="77777777" w:rsidR="00840087" w:rsidRPr="00FC7811" w:rsidRDefault="00840087" w:rsidP="00AA0CA0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B0D78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TG.MT.JAHR</w:t>
            </w:r>
          </w:p>
        </w:tc>
        <w:tc>
          <w:tcPr>
            <w:tcW w:w="1422" w:type="dxa"/>
          </w:tcPr>
          <w:p w14:paraId="3E06492C" w14:textId="77777777" w:rsidR="00840087" w:rsidRPr="00FC7811" w:rsidRDefault="00840087" w:rsidP="00AA0CA0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B0D78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TG.MT.JAHR</w:t>
            </w:r>
          </w:p>
        </w:tc>
      </w:tr>
    </w:tbl>
    <w:p w14:paraId="23AB593F" w14:textId="77777777" w:rsidR="00840087" w:rsidRPr="00FC7811" w:rsidRDefault="00840087" w:rsidP="00840087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7F8B8BB7" w14:textId="77777777" w:rsidR="00840087" w:rsidRPr="00FC7811" w:rsidRDefault="00840087" w:rsidP="0084008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>Bis 2024 war ein Rentenvorbezug nur ein bis zwei Jahre vor dem ordentlichen Rentenalter möglich. Diese Regelung wurde aufgehoben und durch einen flexiblen Rentenbezug ersetzt. Männer können ihre AHV-Rente ab 63 Jahren vorbeziehen. Frauen der Jahrgänge 1961–1969 (Übergangsgeneration) weiterhin bereits ab 62 Jahren.</w:t>
      </w:r>
    </w:p>
    <w:p w14:paraId="277BF6C6" w14:textId="77777777" w:rsidR="00840087" w:rsidRPr="00FC7811" w:rsidRDefault="00840087" w:rsidP="0084008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9B6D72E" w14:textId="77777777" w:rsidR="00840087" w:rsidRPr="00FC7811" w:rsidRDefault="00840087" w:rsidP="0084008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>Nach Kapitel D.3.3 Abs. 2 SKOS (AHV-Leistungen) sind unterstützte Personen grundsätzlich zum Rentenbezug verpflichtet. Ein Vorbezug darf nach Kapitel D.3.3 Abs. 1 SKOS (Altersvorsorge) die Existenzsicherung im Alter nicht gefährden und andere Leistungen nicht beeinträchtigen. Speziell zu prüfen ist ein Vorbezug bei laufenden IV-Verfahren, Anspruch auf Überbrückungsleistungen oder Kinderrenten.</w:t>
      </w:r>
    </w:p>
    <w:p w14:paraId="5669E3F7" w14:textId="77777777" w:rsidR="00840087" w:rsidRPr="00FC7811" w:rsidRDefault="00840087" w:rsidP="0084008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75B55EB" w14:textId="77777777" w:rsidR="00840087" w:rsidRPr="00FC7811" w:rsidRDefault="00840087" w:rsidP="0084008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 xml:space="preserve">Die Rente ist in einem existenzsichernden Umfang zu beantragen. Ergänzende Unterstützung zu einer Teilrente widerspricht dem Subsidiaritätsprinzip. Ausbezahltes Altersguthaben gilt nach Kapitel D.3.3 Abs. 5 (Altersvorsorge der 2. Säule und der Säule 3a) als anrechenbares Vermögen und ist für den Lebensunterhalt zu verwenden. </w:t>
      </w:r>
    </w:p>
    <w:p w14:paraId="45FBF462" w14:textId="77777777" w:rsidR="00840087" w:rsidRPr="00FC7811" w:rsidRDefault="00840087" w:rsidP="0084008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DDB2F89" w14:textId="77777777" w:rsidR="00840087" w:rsidRPr="00FC7811" w:rsidRDefault="00840087" w:rsidP="0084008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 xml:space="preserve">Der Antrag auf Vorbezug ist 3 bis 4 Monate vor Rentenbeginn bei der SVA </w:t>
      </w:r>
      <w:r>
        <w:rPr>
          <w:rFonts w:ascii="Arial" w:hAnsi="Arial" w:cs="Arial"/>
          <w:color w:val="000000"/>
          <w:sz w:val="20"/>
          <w:szCs w:val="20"/>
        </w:rPr>
        <w:t xml:space="preserve">Zürich </w:t>
      </w:r>
      <w:r w:rsidRPr="00FC7811">
        <w:rPr>
          <w:rFonts w:ascii="Arial" w:hAnsi="Arial" w:cs="Arial"/>
          <w:color w:val="000000"/>
          <w:sz w:val="20"/>
          <w:szCs w:val="20"/>
        </w:rPr>
        <w:t>einzureichen.</w:t>
      </w:r>
    </w:p>
    <w:p w14:paraId="0CBB961B" w14:textId="77777777" w:rsidR="00840087" w:rsidRPr="00FC7811" w:rsidRDefault="00840087" w:rsidP="0084008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37A3C8A" w14:textId="77777777" w:rsidR="00840087" w:rsidRPr="00FC7811" w:rsidRDefault="00840087" w:rsidP="0084008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>Bei einem Vorbezug sind AHV-Beiträge bis zum ordentlichen Rentenalter weiterhin zu leisten. Arbeitslosentaggelder fallen tiefer aus, und es besteht kein Anspruch auf Überbrückungsleistungen der Arbeitslosenversicherung.</w:t>
      </w:r>
    </w:p>
    <w:p w14:paraId="53712C7C" w14:textId="77777777" w:rsidR="00840087" w:rsidRPr="00FC7811" w:rsidRDefault="00840087" w:rsidP="0084008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7C46D49" w14:textId="77777777" w:rsidR="00840087" w:rsidRPr="00FC7811" w:rsidRDefault="00840087" w:rsidP="00840087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225852785"/>
      <w:r w:rsidRPr="00FC7811">
        <w:rPr>
          <w:rFonts w:ascii="Arial" w:hAnsi="Arial" w:cs="Arial"/>
          <w:color w:val="000000"/>
          <w:sz w:val="20"/>
          <w:szCs w:val="20"/>
        </w:rPr>
        <w:t xml:space="preserve">Die Informationsstelle AHV/IV, </w:t>
      </w:r>
      <w:hyperlink r:id="rId4" w:history="1">
        <w:r w:rsidRPr="00FC7811">
          <w:rPr>
            <w:rStyle w:val="Hyperlink"/>
            <w:rFonts w:cs="Arial"/>
            <w:color w:val="auto"/>
            <w:sz w:val="20"/>
            <w:szCs w:val="20"/>
            <w:u w:val="none"/>
          </w:rPr>
          <w:t>www.ahv-iv.ch</w:t>
        </w:r>
      </w:hyperlink>
      <w:r w:rsidRPr="00FC7811">
        <w:rPr>
          <w:rFonts w:ascii="Arial" w:hAnsi="Arial" w:cs="Arial"/>
          <w:sz w:val="20"/>
          <w:szCs w:val="20"/>
        </w:rPr>
        <w:t xml:space="preserve">,  </w:t>
      </w:r>
      <w:r w:rsidRPr="00FC7811">
        <w:rPr>
          <w:rFonts w:ascii="Arial" w:hAnsi="Arial" w:cs="Arial"/>
          <w:color w:val="000000"/>
          <w:sz w:val="20"/>
          <w:szCs w:val="20"/>
        </w:rPr>
        <w:t>stellt u.a. das Merkblatt 3.04 «Leistungen der AHV, Flexibler Rentenbezug» zur Neuberechnung der flexiblen Altersrente und das Formular 318.370 «Anmeldung für eine Altersrente» zur Verfügung.</w:t>
      </w:r>
    </w:p>
    <w:p w14:paraId="05A15401" w14:textId="77777777" w:rsidR="00840087" w:rsidRPr="00FC7811" w:rsidRDefault="00840087" w:rsidP="0084008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9204C9C" w14:textId="77777777" w:rsidR="00840087" w:rsidRPr="00FC7811" w:rsidRDefault="00840087" w:rsidP="0084008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>Im Sozialhilfehandbuch Kanton Zürich sind in den Praxishilfen in Kapitel 11.1.02 Informationen, Formulare und Merkblätter zu Altersrente, NE-Beiträge und Rentenvorbezug abgelegt.</w:t>
      </w:r>
    </w:p>
    <w:p w14:paraId="0727B087" w14:textId="77777777" w:rsidR="00840087" w:rsidRDefault="00840087" w:rsidP="00840087">
      <w:pPr>
        <w:rPr>
          <w:rFonts w:ascii="Arial" w:hAnsi="Arial" w:cs="Arial"/>
          <w:sz w:val="20"/>
          <w:szCs w:val="20"/>
          <w:lang w:val="de-DE"/>
        </w:rPr>
      </w:pPr>
    </w:p>
    <w:p w14:paraId="18ABD2D5" w14:textId="77777777" w:rsidR="00840087" w:rsidRPr="009B65D2" w:rsidRDefault="00840087" w:rsidP="00840087">
      <w:pPr>
        <w:jc w:val="both"/>
        <w:rPr>
          <w:rFonts w:ascii="Arial" w:hAnsi="Arial" w:cs="Arial"/>
          <w:i/>
          <w:iCs/>
          <w:color w:val="FF8A00"/>
          <w:sz w:val="20"/>
          <w:szCs w:val="20"/>
        </w:rPr>
      </w:pP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Die Einträge sind Beispiele </w:t>
      </w:r>
      <w:r>
        <w:rPr>
          <w:rFonts w:ascii="Arial" w:hAnsi="Arial" w:cs="Arial"/>
          <w:i/>
          <w:iCs/>
          <w:color w:val="FF8A00"/>
          <w:sz w:val="20"/>
          <w:szCs w:val="20"/>
        </w:rPr>
        <w:t xml:space="preserve">und 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an kantonale</w:t>
      </w:r>
      <w:r>
        <w:rPr>
          <w:rFonts w:ascii="Arial" w:hAnsi="Arial" w:cs="Arial"/>
          <w:i/>
          <w:iCs/>
          <w:color w:val="FF8A00"/>
          <w:sz w:val="20"/>
          <w:szCs w:val="20"/>
        </w:rPr>
        <w:t>/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kommunale Vorgaben anzupassen</w:t>
      </w:r>
      <w:r>
        <w:rPr>
          <w:rFonts w:ascii="Arial" w:hAnsi="Arial" w:cs="Arial"/>
          <w:i/>
          <w:iCs/>
          <w:color w:val="FF8A00"/>
          <w:sz w:val="20"/>
          <w:szCs w:val="20"/>
        </w:rPr>
        <w:t>, ebenso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Bezeichnungen</w:t>
      </w:r>
      <w:r>
        <w:rPr>
          <w:rFonts w:ascii="Arial" w:hAnsi="Arial" w:cs="Arial"/>
          <w:i/>
          <w:iCs/>
          <w:color w:val="FF8A00"/>
          <w:sz w:val="20"/>
          <w:szCs w:val="20"/>
        </w:rPr>
        <w:t>, (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z. B. SA </w:t>
      </w:r>
      <w:r>
        <w:rPr>
          <w:rFonts w:ascii="Arial" w:hAnsi="Arial" w:cs="Arial"/>
          <w:i/>
          <w:iCs/>
          <w:color w:val="FF8A00"/>
          <w:sz w:val="20"/>
          <w:szCs w:val="20"/>
        </w:rPr>
        <w:t xml:space="preserve">= 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Sozialberatung</w:t>
      </w:r>
      <w:r>
        <w:rPr>
          <w:rFonts w:ascii="Arial" w:hAnsi="Arial" w:cs="Arial"/>
          <w:i/>
          <w:iCs/>
          <w:color w:val="FF8A00"/>
          <w:sz w:val="20"/>
          <w:szCs w:val="20"/>
        </w:rPr>
        <w:t>,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AL </w:t>
      </w:r>
      <w:r>
        <w:rPr>
          <w:rFonts w:ascii="Arial" w:hAnsi="Arial" w:cs="Arial"/>
          <w:i/>
          <w:iCs/>
          <w:color w:val="FF8A00"/>
          <w:sz w:val="20"/>
          <w:szCs w:val="20"/>
        </w:rPr>
        <w:t>=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Leitung</w:t>
      </w:r>
      <w:r>
        <w:rPr>
          <w:rFonts w:ascii="Arial" w:hAnsi="Arial" w:cs="Arial"/>
          <w:i/>
          <w:iCs/>
          <w:color w:val="FF8A00"/>
          <w:sz w:val="20"/>
          <w:szCs w:val="20"/>
        </w:rPr>
        <w:t>) und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Sprachregelung für </w:t>
      </w:r>
      <w:r>
        <w:rPr>
          <w:rFonts w:ascii="Arial" w:hAnsi="Arial" w:cs="Arial"/>
          <w:i/>
          <w:iCs/>
          <w:color w:val="FF8A00"/>
          <w:sz w:val="20"/>
          <w:szCs w:val="20"/>
        </w:rPr>
        <w:t>Entscheid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color w:val="FF8A00"/>
          <w:sz w:val="20"/>
          <w:szCs w:val="20"/>
        </w:rPr>
        <w:t>Verfügung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/Beschluss)</w:t>
      </w:r>
      <w:r>
        <w:rPr>
          <w:rFonts w:ascii="Arial" w:hAnsi="Arial" w:cs="Arial"/>
          <w:i/>
          <w:iCs/>
          <w:color w:val="FF8A00"/>
          <w:sz w:val="20"/>
          <w:szCs w:val="20"/>
        </w:rPr>
        <w:t>.</w:t>
      </w:r>
    </w:p>
    <w:tbl>
      <w:tblPr>
        <w:tblStyle w:val="Gitternetztabelle4Akzent1"/>
        <w:tblW w:w="9067" w:type="dxa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850"/>
        <w:gridCol w:w="992"/>
      </w:tblGrid>
      <w:tr w:rsidR="00840087" w:rsidRPr="00FC7811" w14:paraId="387E9C91" w14:textId="77777777" w:rsidTr="00840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2C3FA2B" w14:textId="77777777" w:rsidR="00840087" w:rsidRPr="00FC7811" w:rsidRDefault="00840087" w:rsidP="00AA0CA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Normgeschäft (NG)</w:t>
            </w:r>
          </w:p>
        </w:tc>
        <w:tc>
          <w:tcPr>
            <w:tcW w:w="2693" w:type="dxa"/>
            <w:gridSpan w:val="3"/>
          </w:tcPr>
          <w:p w14:paraId="0360ED5C" w14:textId="77777777" w:rsidR="00840087" w:rsidRPr="00FC7811" w:rsidRDefault="00840087" w:rsidP="00AA0C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Vollzug durch / Form</w:t>
            </w:r>
          </w:p>
        </w:tc>
      </w:tr>
      <w:tr w:rsidR="00840087" w:rsidRPr="00FC7811" w14:paraId="1482E59C" w14:textId="77777777" w:rsidTr="00840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6C493EB7" w14:textId="77777777" w:rsidR="00840087" w:rsidRPr="00FC7811" w:rsidRDefault="00840087" w:rsidP="00AA0CA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Anmeldung AHV-Vorbezug</w:t>
            </w:r>
          </w:p>
        </w:tc>
        <w:tc>
          <w:tcPr>
            <w:tcW w:w="851" w:type="dxa"/>
          </w:tcPr>
          <w:p w14:paraId="50F7DCBA" w14:textId="77777777" w:rsidR="00840087" w:rsidRPr="00FC7811" w:rsidRDefault="00840087" w:rsidP="00AA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AL</w:t>
            </w:r>
          </w:p>
        </w:tc>
        <w:tc>
          <w:tcPr>
            <w:tcW w:w="850" w:type="dxa"/>
          </w:tcPr>
          <w:p w14:paraId="4FDBBB23" w14:textId="77777777" w:rsidR="00840087" w:rsidRPr="00FC7811" w:rsidRDefault="00840087" w:rsidP="00AA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Direkt*</w:t>
            </w:r>
          </w:p>
        </w:tc>
        <w:tc>
          <w:tcPr>
            <w:tcW w:w="992" w:type="dxa"/>
          </w:tcPr>
          <w:p w14:paraId="3BA71950" w14:textId="77777777" w:rsidR="00840087" w:rsidRPr="00FC7811" w:rsidRDefault="00840087" w:rsidP="00AA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Kogu</w:t>
            </w:r>
          </w:p>
        </w:tc>
      </w:tr>
      <w:tr w:rsidR="00840087" w:rsidRPr="00FC7811" w14:paraId="2A8B537B" w14:textId="77777777" w:rsidTr="00840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7CAF5973" w14:textId="77777777" w:rsidR="00840087" w:rsidRPr="00FC7811" w:rsidRDefault="00840087" w:rsidP="00AA0CA0">
            <w:pPr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 xml:space="preserve">alle </w:t>
            </w:r>
          </w:p>
        </w:tc>
        <w:tc>
          <w:tcPr>
            <w:tcW w:w="851" w:type="dxa"/>
          </w:tcPr>
          <w:p w14:paraId="6E07916D" w14:textId="77777777" w:rsidR="00840087" w:rsidRPr="00FC7811" w:rsidRDefault="00840087" w:rsidP="00AA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362FE28" w14:textId="77777777" w:rsidR="00840087" w:rsidRPr="00FC7811" w:rsidRDefault="00840087" w:rsidP="00AA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7BD0C3C" w14:textId="77777777" w:rsidR="00840087" w:rsidRPr="00FC7811" w:rsidRDefault="00840087" w:rsidP="00AA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3E0E6EEC" w14:textId="77777777" w:rsidR="00840087" w:rsidRPr="000238A6" w:rsidRDefault="00840087" w:rsidP="00840087">
      <w:pPr>
        <w:rPr>
          <w:rFonts w:ascii="Arial" w:hAnsi="Arial" w:cs="Arial"/>
          <w:i/>
          <w:iCs/>
          <w:sz w:val="16"/>
          <w:szCs w:val="16"/>
        </w:rPr>
      </w:pPr>
      <w:r w:rsidRPr="000238A6">
        <w:rPr>
          <w:rFonts w:ascii="Arial" w:hAnsi="Arial" w:cs="Arial"/>
          <w:i/>
          <w:iCs/>
          <w:sz w:val="16"/>
          <w:szCs w:val="16"/>
        </w:rPr>
        <w:t>* Direktzahlung oder -erledigung</w:t>
      </w:r>
    </w:p>
    <w:p w14:paraId="4AC23A63" w14:textId="77777777" w:rsidR="00840087" w:rsidRPr="00FC7811" w:rsidRDefault="00840087" w:rsidP="0084008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itternetztabelle5dunkelAkzent1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840087" w:rsidRPr="00FC7811" w14:paraId="27B58A25" w14:textId="77777777" w:rsidTr="00840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46BBF6" w14:textId="77777777" w:rsidR="00840087" w:rsidRPr="00FC7811" w:rsidRDefault="00840087" w:rsidP="00AA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Kapitel</w:t>
            </w:r>
          </w:p>
        </w:tc>
        <w:tc>
          <w:tcPr>
            <w:tcW w:w="8079" w:type="dxa"/>
          </w:tcPr>
          <w:p w14:paraId="6CA59798" w14:textId="77777777" w:rsidR="00840087" w:rsidRPr="00FC7811" w:rsidRDefault="00840087" w:rsidP="00AA0C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Sozialhilfehandbuch Zürich</w:t>
            </w:r>
          </w:p>
        </w:tc>
      </w:tr>
      <w:tr w:rsidR="00840087" w:rsidRPr="00FC7811" w14:paraId="3452AFE8" w14:textId="77777777" w:rsidTr="00840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8184E1" w14:textId="77777777" w:rsidR="00840087" w:rsidRPr="00FC7811" w:rsidRDefault="00840087" w:rsidP="00AA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 xml:space="preserve">  5.1.03</w:t>
            </w:r>
          </w:p>
        </w:tc>
        <w:tc>
          <w:tcPr>
            <w:tcW w:w="8079" w:type="dxa"/>
          </w:tcPr>
          <w:p w14:paraId="55D3AAF7" w14:textId="77777777" w:rsidR="00840087" w:rsidRPr="00FC7811" w:rsidRDefault="00840087" w:rsidP="00AA0C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Subsidiaritätsprinzip in der Sozialhilfe</w:t>
            </w:r>
          </w:p>
        </w:tc>
      </w:tr>
      <w:tr w:rsidR="00840087" w:rsidRPr="00FC7811" w14:paraId="14C6B5A8" w14:textId="77777777" w:rsidTr="00840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331984" w14:textId="77777777" w:rsidR="00840087" w:rsidRPr="00FC7811" w:rsidRDefault="00840087" w:rsidP="00AA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 xml:space="preserve">  9.5.01</w:t>
            </w:r>
          </w:p>
        </w:tc>
        <w:tc>
          <w:tcPr>
            <w:tcW w:w="8079" w:type="dxa"/>
          </w:tcPr>
          <w:p w14:paraId="3A66CCAC" w14:textId="77777777" w:rsidR="00840087" w:rsidRPr="00FC7811" w:rsidRDefault="00840087" w:rsidP="00AA0C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AHV-Vorbezug</w:t>
            </w:r>
          </w:p>
        </w:tc>
      </w:tr>
      <w:tr w:rsidR="00840087" w:rsidRPr="00FC7811" w14:paraId="7810DF2C" w14:textId="77777777" w:rsidTr="00840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33B956" w14:textId="77777777" w:rsidR="00840087" w:rsidRPr="00FC7811" w:rsidRDefault="00840087" w:rsidP="00AA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11.1.02</w:t>
            </w:r>
          </w:p>
        </w:tc>
        <w:tc>
          <w:tcPr>
            <w:tcW w:w="8079" w:type="dxa"/>
          </w:tcPr>
          <w:p w14:paraId="2959E0C6" w14:textId="77777777" w:rsidR="00840087" w:rsidRPr="00FC7811" w:rsidRDefault="00840087" w:rsidP="00AA0C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Alters- und Hinterlassenenversicherung (AHV)</w:t>
            </w:r>
          </w:p>
        </w:tc>
      </w:tr>
      <w:bookmarkEnd w:id="2"/>
    </w:tbl>
    <w:p w14:paraId="28E869F1" w14:textId="77777777" w:rsidR="006C6EB5" w:rsidRPr="00840087" w:rsidRDefault="006C6EB5">
      <w:pPr>
        <w:rPr>
          <w:rFonts w:ascii="Arial" w:hAnsi="Arial" w:cs="Arial"/>
          <w:sz w:val="20"/>
          <w:szCs w:val="20"/>
        </w:rPr>
      </w:pPr>
    </w:p>
    <w:sectPr w:rsidR="006C6EB5" w:rsidRPr="00840087" w:rsidSect="005C3FB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87"/>
    <w:rsid w:val="000D61D4"/>
    <w:rsid w:val="005C3FB0"/>
    <w:rsid w:val="005E37AE"/>
    <w:rsid w:val="006C6EB5"/>
    <w:rsid w:val="00840087"/>
    <w:rsid w:val="00F4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E46171"/>
  <w15:chartTrackingRefBased/>
  <w15:docId w15:val="{81B845D1-DC59-964F-B525-91E1DD26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0087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0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0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berschrift3">
    <w:name w:val="heading 3"/>
    <w:aliases w:val="UebSch12"/>
    <w:basedOn w:val="Standard"/>
    <w:next w:val="Standard"/>
    <w:link w:val="berschrift3Zchn"/>
    <w:uiPriority w:val="4"/>
    <w:unhideWhenUsed/>
    <w:qFormat/>
    <w:rsid w:val="00840087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0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0087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00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00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00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00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008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0087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berschrift3Zchn">
    <w:name w:val="Überschrift 3 Zchn"/>
    <w:aliases w:val="UebSch12 Zchn"/>
    <w:basedOn w:val="Absatz-Standardschriftart"/>
    <w:link w:val="berschrift3"/>
    <w:uiPriority w:val="4"/>
    <w:rsid w:val="00840087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0087"/>
    <w:rPr>
      <w:rFonts w:eastAsiaTheme="majorEastAsia" w:cstheme="majorBidi"/>
      <w:i/>
      <w:iCs/>
      <w:color w:val="374C80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0087"/>
    <w:rPr>
      <w:rFonts w:eastAsiaTheme="majorEastAsia" w:cstheme="majorBidi"/>
      <w:color w:val="374C8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00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00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00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00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0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0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00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0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00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00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00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0087"/>
    <w:rPr>
      <w:i/>
      <w:iCs/>
      <w:color w:val="374C80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0087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0087"/>
    <w:rPr>
      <w:i/>
      <w:iCs/>
      <w:color w:val="374C80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0087"/>
    <w:rPr>
      <w:b/>
      <w:bCs/>
      <w:smallCaps/>
      <w:color w:val="374C80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40087"/>
    <w:rPr>
      <w:rFonts w:ascii="Arial" w:hAnsi="Arial"/>
      <w:color w:val="9454C3" w:themeColor="hyperlink"/>
      <w:sz w:val="22"/>
      <w:u w:val="single"/>
    </w:rPr>
  </w:style>
  <w:style w:type="table" w:styleId="Gitternetztabelle4Akzent1">
    <w:name w:val="Grid Table 4 Accent 1"/>
    <w:basedOn w:val="NormaleTabelle"/>
    <w:uiPriority w:val="49"/>
    <w:rsid w:val="00840087"/>
    <w:rPr>
      <w:rFonts w:eastAsia="Batang"/>
      <w:kern w:val="0"/>
      <w14:ligatures w14:val="none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itternetztabelle5dunkelAkzent1">
    <w:name w:val="Grid Table 5 Dark Accent 1"/>
    <w:basedOn w:val="NormaleTabelle"/>
    <w:uiPriority w:val="50"/>
    <w:rsid w:val="00840087"/>
    <w:rPr>
      <w:rFonts w:ascii="Arial" w:hAnsi="Arial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hv-iv.ch" TargetMode="External"/></Relationships>
</file>

<file path=word/theme/theme1.xml><?xml version="1.0" encoding="utf-8"?>
<a:theme xmlns:a="http://schemas.openxmlformats.org/drawingml/2006/main" name="Offic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Rinke</dc:creator>
  <cp:keywords/>
  <dc:description/>
  <cp:lastModifiedBy>Brigitte Rinke</cp:lastModifiedBy>
  <cp:revision>1</cp:revision>
  <dcterms:created xsi:type="dcterms:W3CDTF">2026-06-24T08:48:00Z</dcterms:created>
  <dcterms:modified xsi:type="dcterms:W3CDTF">2026-06-24T08:49:00Z</dcterms:modified>
</cp:coreProperties>
</file>