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47"/>
        <w:gridCol w:w="1598"/>
        <w:gridCol w:w="1422"/>
      </w:tblGrid>
      <w:tr w:rsidR="00DB1555" w:rsidRPr="00FC7811" w14:paraId="1A96D003" w14:textId="77777777" w:rsidTr="0091460C">
        <w:tc>
          <w:tcPr>
            <w:tcW w:w="6047" w:type="dxa"/>
          </w:tcPr>
          <w:p w14:paraId="6F96F573" w14:textId="77777777" w:rsidR="00DB1555" w:rsidRPr="00FC7811" w:rsidRDefault="00DB1555" w:rsidP="00AA0CA0">
            <w:pPr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  <w:r w:rsidRPr="00FC7811">
              <w:rPr>
                <w:rFonts w:ascii="Arial" w:hAnsi="Arial" w:cs="Arial"/>
                <w:noProof/>
                <w:sz w:val="20"/>
                <w:szCs w:val="20"/>
              </w:rPr>
              <w:t>Thema</w:t>
            </w:r>
          </w:p>
        </w:tc>
        <w:tc>
          <w:tcPr>
            <w:tcW w:w="1598" w:type="dxa"/>
          </w:tcPr>
          <w:p w14:paraId="0D534048" w14:textId="77777777" w:rsidR="00DB1555" w:rsidRPr="00FC7811" w:rsidRDefault="00DB1555" w:rsidP="00AA0CA0">
            <w:pPr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  <w:r w:rsidRPr="00FC7811">
              <w:rPr>
                <w:rFonts w:ascii="Arial" w:hAnsi="Arial" w:cs="Arial"/>
                <w:noProof/>
                <w:sz w:val="20"/>
                <w:szCs w:val="20"/>
              </w:rPr>
              <w:t>genehmigt</w:t>
            </w:r>
          </w:p>
        </w:tc>
        <w:tc>
          <w:tcPr>
            <w:tcW w:w="1422" w:type="dxa"/>
          </w:tcPr>
          <w:p w14:paraId="4DD5B53D" w14:textId="77777777" w:rsidR="00DB1555" w:rsidRPr="00FC7811" w:rsidRDefault="00DB1555" w:rsidP="00AA0CA0">
            <w:pPr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  <w:r w:rsidRPr="00FC7811">
              <w:rPr>
                <w:rFonts w:ascii="Arial" w:hAnsi="Arial" w:cs="Arial"/>
                <w:noProof/>
                <w:sz w:val="20"/>
                <w:szCs w:val="20"/>
              </w:rPr>
              <w:t>in Kraft ab</w:t>
            </w:r>
          </w:p>
        </w:tc>
      </w:tr>
      <w:tr w:rsidR="00DB1555" w:rsidRPr="00FC7811" w14:paraId="3CDE3676" w14:textId="77777777" w:rsidTr="0091460C">
        <w:tc>
          <w:tcPr>
            <w:tcW w:w="6047" w:type="dxa"/>
          </w:tcPr>
          <w:p w14:paraId="26B6B751" w14:textId="77777777" w:rsidR="00DB1555" w:rsidRPr="00DB1555" w:rsidRDefault="00DB1555" w:rsidP="00AA0CA0">
            <w:pPr>
              <w:pStyle w:val="berschrift3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</w:pPr>
            <w:bookmarkStart w:id="0" w:name="_Toc220241542"/>
            <w:bookmarkStart w:id="1" w:name="_Toc232870595"/>
            <w:r w:rsidRPr="00DB1555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AHV: AHV-Vorbezug</w:t>
            </w:r>
            <w:bookmarkEnd w:id="0"/>
            <w:bookmarkEnd w:id="1"/>
            <w:r w:rsidRPr="00DB1555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98" w:type="dxa"/>
          </w:tcPr>
          <w:p w14:paraId="4AA3690E" w14:textId="77777777" w:rsidR="00DB1555" w:rsidRPr="00FC7811" w:rsidRDefault="00DB1555" w:rsidP="00AA0CA0">
            <w:pPr>
              <w:spacing w:before="120"/>
              <w:rPr>
                <w:rFonts w:ascii="Arial" w:hAnsi="Arial" w:cs="Arial"/>
                <w:noProof/>
                <w:sz w:val="20"/>
                <w:szCs w:val="20"/>
              </w:rPr>
            </w:pPr>
            <w:r w:rsidRPr="00DB0D78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TG.MT.JAHR</w:t>
            </w:r>
          </w:p>
        </w:tc>
        <w:tc>
          <w:tcPr>
            <w:tcW w:w="1422" w:type="dxa"/>
          </w:tcPr>
          <w:p w14:paraId="7A0214A0" w14:textId="77777777" w:rsidR="00DB1555" w:rsidRPr="00FC7811" w:rsidRDefault="00DB1555" w:rsidP="00AA0CA0">
            <w:pPr>
              <w:spacing w:before="120"/>
              <w:rPr>
                <w:rFonts w:ascii="Arial" w:hAnsi="Arial" w:cs="Arial"/>
                <w:noProof/>
                <w:sz w:val="20"/>
                <w:szCs w:val="20"/>
              </w:rPr>
            </w:pPr>
            <w:r w:rsidRPr="00DB0D78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TG.MT.JAHR</w:t>
            </w:r>
          </w:p>
        </w:tc>
      </w:tr>
    </w:tbl>
    <w:p w14:paraId="33DC1BC5" w14:textId="77777777" w:rsidR="00DB1555" w:rsidRPr="00FC7811" w:rsidRDefault="00DB1555" w:rsidP="00DB1555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14:paraId="1E22124F" w14:textId="77777777" w:rsidR="00DB1555" w:rsidRPr="00FC7811" w:rsidRDefault="00DB1555" w:rsidP="00DB1555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FC7811">
        <w:rPr>
          <w:rFonts w:ascii="Arial" w:hAnsi="Arial" w:cs="Arial"/>
          <w:color w:val="000000"/>
          <w:sz w:val="20"/>
          <w:szCs w:val="20"/>
        </w:rPr>
        <w:t>Bis 2024 war ein Rentenvorbezug nur ein bis zwei Jahre vor dem ordentlichen Rentenalter möglich. Diese Regelung wurde aufgehoben und durch einen flexiblen Rentenbezug ersetzt. Männer können ihre AHV-Rente ab 63 Jahren vorbeziehen. Frauen der Jahrgänge 1961–1969 (Übergangsgeneration) weiterhin bereits ab 62 Jahren.</w:t>
      </w:r>
    </w:p>
    <w:p w14:paraId="1C252DF4" w14:textId="77777777" w:rsidR="00DB1555" w:rsidRPr="00FC7811" w:rsidRDefault="00DB1555" w:rsidP="00DB1555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5960A788" w14:textId="77777777" w:rsidR="00DB1555" w:rsidRPr="00FC7811" w:rsidRDefault="00DB1555" w:rsidP="00DB1555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FC7811">
        <w:rPr>
          <w:rFonts w:ascii="Arial" w:hAnsi="Arial" w:cs="Arial"/>
          <w:color w:val="000000"/>
          <w:sz w:val="20"/>
          <w:szCs w:val="20"/>
        </w:rPr>
        <w:t>Nach Kapitel D.3.3 Abs. 2 SKOS (AHV-Leistungen) sind unterstützte Personen grundsätzlich zum Rentenbezug verpflichtet. Ein Vorbezug darf nach Kapitel D.3.3 Abs. 1 SKOS (Altersvorsorge) die Existenzsicherung im Alter nicht gefährden und andere Leistungen nicht beeinträchtigen. Speziell zu prüfen ist ein Vorbezug bei laufenden IV-Verfahren, Anspruch auf Überbrückungsleistungen oder Kinderrenten.</w:t>
      </w:r>
    </w:p>
    <w:p w14:paraId="6C07E797" w14:textId="77777777" w:rsidR="00DB1555" w:rsidRPr="00FC7811" w:rsidRDefault="00DB1555" w:rsidP="00DB1555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64C8E3C" w14:textId="77777777" w:rsidR="00DB1555" w:rsidRPr="00FC7811" w:rsidRDefault="00DB1555" w:rsidP="00DB1555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FC7811">
        <w:rPr>
          <w:rFonts w:ascii="Arial" w:hAnsi="Arial" w:cs="Arial"/>
          <w:color w:val="000000"/>
          <w:sz w:val="20"/>
          <w:szCs w:val="20"/>
        </w:rPr>
        <w:t xml:space="preserve">Die Rente ist in einem existenzsichernden Umfang zu beantragen. Ergänzende Unterstützung zu einer Teilrente widerspricht dem Subsidiaritätsprinzip. Ausbezahltes Altersguthaben gilt nach Kapitel D.3.3 Abs. 5 (Altersvorsorge der 2. Säule und der Säule 3a) als anrechenbares Vermögen und ist für den Lebensunterhalt zu verwenden. </w:t>
      </w:r>
    </w:p>
    <w:p w14:paraId="41F9495F" w14:textId="77777777" w:rsidR="00DB1555" w:rsidRPr="00FC7811" w:rsidRDefault="00DB1555" w:rsidP="00DB1555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1380967C" w14:textId="77777777" w:rsidR="00DB1555" w:rsidRPr="00FC7811" w:rsidRDefault="00DB1555" w:rsidP="00DB1555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FC7811">
        <w:rPr>
          <w:rFonts w:ascii="Arial" w:hAnsi="Arial" w:cs="Arial"/>
          <w:color w:val="000000"/>
          <w:sz w:val="20"/>
          <w:szCs w:val="20"/>
        </w:rPr>
        <w:t xml:space="preserve">Der Antrag auf Vorbezug ist 3 bis 4 Monate vor Rentenbeginn bei der SVA </w:t>
      </w:r>
      <w:r>
        <w:rPr>
          <w:rFonts w:ascii="Arial" w:hAnsi="Arial" w:cs="Arial"/>
          <w:color w:val="000000"/>
          <w:sz w:val="20"/>
          <w:szCs w:val="20"/>
        </w:rPr>
        <w:t xml:space="preserve">Zürich </w:t>
      </w:r>
      <w:r w:rsidRPr="00FC7811">
        <w:rPr>
          <w:rFonts w:ascii="Arial" w:hAnsi="Arial" w:cs="Arial"/>
          <w:color w:val="000000"/>
          <w:sz w:val="20"/>
          <w:szCs w:val="20"/>
        </w:rPr>
        <w:t>einzureichen.</w:t>
      </w:r>
    </w:p>
    <w:p w14:paraId="4719C5C6" w14:textId="77777777" w:rsidR="00DB1555" w:rsidRPr="00FC7811" w:rsidRDefault="00DB1555" w:rsidP="00DB1555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42C515A5" w14:textId="77777777" w:rsidR="00DB1555" w:rsidRPr="00FC7811" w:rsidRDefault="00DB1555" w:rsidP="00DB1555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FC7811">
        <w:rPr>
          <w:rFonts w:ascii="Arial" w:hAnsi="Arial" w:cs="Arial"/>
          <w:color w:val="000000"/>
          <w:sz w:val="20"/>
          <w:szCs w:val="20"/>
        </w:rPr>
        <w:t>Bei einem Vorbezug sind AHV-Beiträge bis zum ordentlichen Rentenalter weiterhin zu leisten. Arbeitslosentaggelder fallen tiefer aus, und es besteht kein Anspruch auf Überbrückungsleistungen der Arbeitslosenversicherung.</w:t>
      </w:r>
    </w:p>
    <w:p w14:paraId="1DDC372E" w14:textId="77777777" w:rsidR="00DB1555" w:rsidRPr="00FC7811" w:rsidRDefault="00DB1555" w:rsidP="00DB1555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243DAA31" w14:textId="77777777" w:rsidR="00DB1555" w:rsidRPr="00FC7811" w:rsidRDefault="00DB1555" w:rsidP="00DB1555">
      <w:pPr>
        <w:jc w:val="both"/>
        <w:rPr>
          <w:rFonts w:ascii="Arial" w:hAnsi="Arial" w:cs="Arial"/>
          <w:color w:val="000000"/>
          <w:sz w:val="20"/>
          <w:szCs w:val="20"/>
        </w:rPr>
      </w:pPr>
      <w:bookmarkStart w:id="2" w:name="_Hlk225852785"/>
      <w:r w:rsidRPr="00FC7811">
        <w:rPr>
          <w:rFonts w:ascii="Arial" w:hAnsi="Arial" w:cs="Arial"/>
          <w:color w:val="000000"/>
          <w:sz w:val="20"/>
          <w:szCs w:val="20"/>
        </w:rPr>
        <w:t xml:space="preserve">Die Informationsstelle AHV/IV, </w:t>
      </w:r>
      <w:hyperlink r:id="rId4" w:history="1">
        <w:r w:rsidRPr="00FC7811">
          <w:rPr>
            <w:rStyle w:val="Hyperlink"/>
            <w:rFonts w:cs="Arial"/>
            <w:color w:val="auto"/>
            <w:sz w:val="20"/>
            <w:szCs w:val="20"/>
            <w:u w:val="none"/>
          </w:rPr>
          <w:t>www.ahv-iv.ch</w:t>
        </w:r>
      </w:hyperlink>
      <w:r w:rsidRPr="00FC7811">
        <w:rPr>
          <w:rFonts w:ascii="Arial" w:hAnsi="Arial" w:cs="Arial"/>
          <w:sz w:val="20"/>
          <w:szCs w:val="20"/>
        </w:rPr>
        <w:t xml:space="preserve">,  </w:t>
      </w:r>
      <w:r w:rsidRPr="00FC7811">
        <w:rPr>
          <w:rFonts w:ascii="Arial" w:hAnsi="Arial" w:cs="Arial"/>
          <w:color w:val="000000"/>
          <w:sz w:val="20"/>
          <w:szCs w:val="20"/>
        </w:rPr>
        <w:t>stellt u.a. das Merkblatt 3.04 «Leistungen der AHV, Flexibler Rentenbezug» zur Neuberechnung der flexiblen Altersrente und das Formular 318.370 «Anmeldung für eine Altersrente» zur Verfügung.</w:t>
      </w:r>
    </w:p>
    <w:p w14:paraId="6CB6E267" w14:textId="77777777" w:rsidR="00DB1555" w:rsidRPr="00FC7811" w:rsidRDefault="00DB1555" w:rsidP="00DB1555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3F1889FF" w14:textId="77777777" w:rsidR="00DB1555" w:rsidRPr="00FC7811" w:rsidRDefault="00DB1555" w:rsidP="00DB1555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FC7811">
        <w:rPr>
          <w:rFonts w:ascii="Arial" w:hAnsi="Arial" w:cs="Arial"/>
          <w:color w:val="000000"/>
          <w:sz w:val="20"/>
          <w:szCs w:val="20"/>
        </w:rPr>
        <w:t>Im Sozialhilfehandbuch Kanton Zürich sind in den Praxishilfen in Kapitel 11.1.02 Informationen, Formulare und Merkblätter zu Altersrente, NE-Beiträge und Rentenvorbezug abgelegt.</w:t>
      </w:r>
    </w:p>
    <w:p w14:paraId="2B72C9CA" w14:textId="77777777" w:rsidR="00DB1555" w:rsidRDefault="00DB1555" w:rsidP="00DB1555">
      <w:pPr>
        <w:rPr>
          <w:rFonts w:ascii="Arial" w:hAnsi="Arial" w:cs="Arial"/>
          <w:sz w:val="20"/>
          <w:szCs w:val="20"/>
          <w:lang w:val="de-DE"/>
        </w:rPr>
      </w:pPr>
    </w:p>
    <w:p w14:paraId="6DB40F2A" w14:textId="77777777" w:rsidR="00DB1555" w:rsidRPr="009B65D2" w:rsidRDefault="00DB1555" w:rsidP="00DB1555">
      <w:pPr>
        <w:jc w:val="both"/>
        <w:rPr>
          <w:rFonts w:ascii="Arial" w:hAnsi="Arial" w:cs="Arial"/>
          <w:i/>
          <w:iCs/>
          <w:color w:val="FF8A00"/>
          <w:sz w:val="20"/>
          <w:szCs w:val="20"/>
        </w:rPr>
      </w:pPr>
      <w:r w:rsidRPr="00905754">
        <w:rPr>
          <w:rFonts w:ascii="Arial" w:hAnsi="Arial" w:cs="Arial"/>
          <w:i/>
          <w:iCs/>
          <w:color w:val="FF8A00"/>
          <w:sz w:val="20"/>
          <w:szCs w:val="20"/>
        </w:rPr>
        <w:t xml:space="preserve">Die Einträge sind Beispiele </w:t>
      </w:r>
      <w:r>
        <w:rPr>
          <w:rFonts w:ascii="Arial" w:hAnsi="Arial" w:cs="Arial"/>
          <w:i/>
          <w:iCs/>
          <w:color w:val="FF8A00"/>
          <w:sz w:val="20"/>
          <w:szCs w:val="20"/>
        </w:rPr>
        <w:t xml:space="preserve">und </w:t>
      </w:r>
      <w:r w:rsidRPr="00905754">
        <w:rPr>
          <w:rFonts w:ascii="Arial" w:hAnsi="Arial" w:cs="Arial"/>
          <w:i/>
          <w:iCs/>
          <w:color w:val="FF8A00"/>
          <w:sz w:val="20"/>
          <w:szCs w:val="20"/>
        </w:rPr>
        <w:t>an kantonale</w:t>
      </w:r>
      <w:r>
        <w:rPr>
          <w:rFonts w:ascii="Arial" w:hAnsi="Arial" w:cs="Arial"/>
          <w:i/>
          <w:iCs/>
          <w:color w:val="FF8A00"/>
          <w:sz w:val="20"/>
          <w:szCs w:val="20"/>
        </w:rPr>
        <w:t>/</w:t>
      </w:r>
      <w:r w:rsidRPr="00905754">
        <w:rPr>
          <w:rFonts w:ascii="Arial" w:hAnsi="Arial" w:cs="Arial"/>
          <w:i/>
          <w:iCs/>
          <w:color w:val="FF8A00"/>
          <w:sz w:val="20"/>
          <w:szCs w:val="20"/>
        </w:rPr>
        <w:t>kommunale Vorgaben anzupassen</w:t>
      </w:r>
      <w:r>
        <w:rPr>
          <w:rFonts w:ascii="Arial" w:hAnsi="Arial" w:cs="Arial"/>
          <w:i/>
          <w:iCs/>
          <w:color w:val="FF8A00"/>
          <w:sz w:val="20"/>
          <w:szCs w:val="20"/>
        </w:rPr>
        <w:t>, ebenso</w:t>
      </w:r>
      <w:r w:rsidRPr="00905754">
        <w:rPr>
          <w:rFonts w:ascii="Arial" w:hAnsi="Arial" w:cs="Arial"/>
          <w:i/>
          <w:iCs/>
          <w:color w:val="FF8A00"/>
          <w:sz w:val="20"/>
          <w:szCs w:val="20"/>
        </w:rPr>
        <w:t xml:space="preserve"> Bezeichnungen</w:t>
      </w:r>
      <w:r>
        <w:rPr>
          <w:rFonts w:ascii="Arial" w:hAnsi="Arial" w:cs="Arial"/>
          <w:i/>
          <w:iCs/>
          <w:color w:val="FF8A00"/>
          <w:sz w:val="20"/>
          <w:szCs w:val="20"/>
        </w:rPr>
        <w:t>, (</w:t>
      </w:r>
      <w:r w:rsidRPr="00905754">
        <w:rPr>
          <w:rFonts w:ascii="Arial" w:hAnsi="Arial" w:cs="Arial"/>
          <w:i/>
          <w:iCs/>
          <w:color w:val="FF8A00"/>
          <w:sz w:val="20"/>
          <w:szCs w:val="20"/>
        </w:rPr>
        <w:t xml:space="preserve">z. B. SA </w:t>
      </w:r>
      <w:r>
        <w:rPr>
          <w:rFonts w:ascii="Arial" w:hAnsi="Arial" w:cs="Arial"/>
          <w:i/>
          <w:iCs/>
          <w:color w:val="FF8A00"/>
          <w:sz w:val="20"/>
          <w:szCs w:val="20"/>
        </w:rPr>
        <w:t xml:space="preserve">= </w:t>
      </w:r>
      <w:r w:rsidRPr="00905754">
        <w:rPr>
          <w:rFonts w:ascii="Arial" w:hAnsi="Arial" w:cs="Arial"/>
          <w:i/>
          <w:iCs/>
          <w:color w:val="FF8A00"/>
          <w:sz w:val="20"/>
          <w:szCs w:val="20"/>
        </w:rPr>
        <w:t>Sozialberatung</w:t>
      </w:r>
      <w:r>
        <w:rPr>
          <w:rFonts w:ascii="Arial" w:hAnsi="Arial" w:cs="Arial"/>
          <w:i/>
          <w:iCs/>
          <w:color w:val="FF8A00"/>
          <w:sz w:val="20"/>
          <w:szCs w:val="20"/>
        </w:rPr>
        <w:t>,</w:t>
      </w:r>
      <w:r w:rsidRPr="00905754">
        <w:rPr>
          <w:rFonts w:ascii="Arial" w:hAnsi="Arial" w:cs="Arial"/>
          <w:i/>
          <w:iCs/>
          <w:color w:val="FF8A00"/>
          <w:sz w:val="20"/>
          <w:szCs w:val="20"/>
        </w:rPr>
        <w:t xml:space="preserve"> AL </w:t>
      </w:r>
      <w:r>
        <w:rPr>
          <w:rFonts w:ascii="Arial" w:hAnsi="Arial" w:cs="Arial"/>
          <w:i/>
          <w:iCs/>
          <w:color w:val="FF8A00"/>
          <w:sz w:val="20"/>
          <w:szCs w:val="20"/>
        </w:rPr>
        <w:t>=</w:t>
      </w:r>
      <w:r w:rsidRPr="00905754">
        <w:rPr>
          <w:rFonts w:ascii="Arial" w:hAnsi="Arial" w:cs="Arial"/>
          <w:i/>
          <w:iCs/>
          <w:color w:val="FF8A00"/>
          <w:sz w:val="20"/>
          <w:szCs w:val="20"/>
        </w:rPr>
        <w:t>Leitung</w:t>
      </w:r>
      <w:r>
        <w:rPr>
          <w:rFonts w:ascii="Arial" w:hAnsi="Arial" w:cs="Arial"/>
          <w:i/>
          <w:iCs/>
          <w:color w:val="FF8A00"/>
          <w:sz w:val="20"/>
          <w:szCs w:val="20"/>
        </w:rPr>
        <w:t>) und</w:t>
      </w:r>
      <w:r w:rsidRPr="00905754">
        <w:rPr>
          <w:rFonts w:ascii="Arial" w:hAnsi="Arial" w:cs="Arial"/>
          <w:i/>
          <w:iCs/>
          <w:color w:val="FF8A00"/>
          <w:sz w:val="20"/>
          <w:szCs w:val="20"/>
        </w:rPr>
        <w:t xml:space="preserve"> Sprachregelung für </w:t>
      </w:r>
      <w:r>
        <w:rPr>
          <w:rFonts w:ascii="Arial" w:hAnsi="Arial" w:cs="Arial"/>
          <w:i/>
          <w:iCs/>
          <w:color w:val="FF8A00"/>
          <w:sz w:val="20"/>
          <w:szCs w:val="20"/>
        </w:rPr>
        <w:t>Entscheid</w:t>
      </w:r>
      <w:r w:rsidRPr="00905754">
        <w:rPr>
          <w:rFonts w:ascii="Arial" w:hAnsi="Arial" w:cs="Arial"/>
          <w:i/>
          <w:iCs/>
          <w:color w:val="FF8A00"/>
          <w:sz w:val="20"/>
          <w:szCs w:val="20"/>
        </w:rPr>
        <w:t xml:space="preserve"> (</w:t>
      </w:r>
      <w:r>
        <w:rPr>
          <w:rFonts w:ascii="Arial" w:hAnsi="Arial" w:cs="Arial"/>
          <w:i/>
          <w:iCs/>
          <w:color w:val="FF8A00"/>
          <w:sz w:val="20"/>
          <w:szCs w:val="20"/>
        </w:rPr>
        <w:t>Verfügung</w:t>
      </w:r>
      <w:r w:rsidRPr="00905754">
        <w:rPr>
          <w:rFonts w:ascii="Arial" w:hAnsi="Arial" w:cs="Arial"/>
          <w:i/>
          <w:iCs/>
          <w:color w:val="FF8A00"/>
          <w:sz w:val="20"/>
          <w:szCs w:val="20"/>
        </w:rPr>
        <w:t>/Beschluss)</w:t>
      </w:r>
      <w:r>
        <w:rPr>
          <w:rFonts w:ascii="Arial" w:hAnsi="Arial" w:cs="Arial"/>
          <w:i/>
          <w:iCs/>
          <w:color w:val="FF8A00"/>
          <w:sz w:val="20"/>
          <w:szCs w:val="20"/>
        </w:rPr>
        <w:t>.</w:t>
      </w:r>
    </w:p>
    <w:tbl>
      <w:tblPr>
        <w:tblStyle w:val="Gitternetztabelle4Akzent1"/>
        <w:tblW w:w="9067" w:type="dxa"/>
        <w:tblLayout w:type="fixed"/>
        <w:tblLook w:val="04A0" w:firstRow="1" w:lastRow="0" w:firstColumn="1" w:lastColumn="0" w:noHBand="0" w:noVBand="1"/>
      </w:tblPr>
      <w:tblGrid>
        <w:gridCol w:w="6374"/>
        <w:gridCol w:w="851"/>
        <w:gridCol w:w="850"/>
        <w:gridCol w:w="992"/>
      </w:tblGrid>
      <w:tr w:rsidR="00DB1555" w:rsidRPr="00FC7811" w14:paraId="1F384F9C" w14:textId="77777777" w:rsidTr="009146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2FB6B4B9" w14:textId="77777777" w:rsidR="00DB1555" w:rsidRPr="00FC7811" w:rsidRDefault="00DB1555" w:rsidP="00AA0CA0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FC7811">
              <w:rPr>
                <w:rFonts w:ascii="Arial" w:hAnsi="Arial" w:cs="Arial"/>
                <w:noProof/>
                <w:sz w:val="20"/>
                <w:szCs w:val="20"/>
              </w:rPr>
              <w:t>Normgeschäft (NG)</w:t>
            </w:r>
          </w:p>
        </w:tc>
        <w:tc>
          <w:tcPr>
            <w:tcW w:w="2693" w:type="dxa"/>
            <w:gridSpan w:val="3"/>
          </w:tcPr>
          <w:p w14:paraId="0F3FD76E" w14:textId="77777777" w:rsidR="00DB1555" w:rsidRPr="00FC7811" w:rsidRDefault="00DB1555" w:rsidP="00AA0C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</w:rPr>
            </w:pPr>
            <w:r w:rsidRPr="00FC7811">
              <w:rPr>
                <w:rFonts w:ascii="Arial" w:hAnsi="Arial" w:cs="Arial"/>
                <w:noProof/>
                <w:sz w:val="20"/>
                <w:szCs w:val="20"/>
              </w:rPr>
              <w:t>Vollzug durch / Form</w:t>
            </w:r>
          </w:p>
        </w:tc>
      </w:tr>
      <w:tr w:rsidR="00DB1555" w:rsidRPr="00FC7811" w14:paraId="26D3273D" w14:textId="77777777" w:rsidTr="005C1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4E52D36F" w14:textId="77777777" w:rsidR="00DB1555" w:rsidRPr="00FC7811" w:rsidRDefault="00DB1555" w:rsidP="00AA0CA0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FC7811">
              <w:rPr>
                <w:rFonts w:ascii="Arial" w:hAnsi="Arial" w:cs="Arial"/>
                <w:noProof/>
                <w:sz w:val="20"/>
                <w:szCs w:val="20"/>
              </w:rPr>
              <w:t>Anmeldung AHV-Vorbezug</w:t>
            </w:r>
          </w:p>
        </w:tc>
        <w:tc>
          <w:tcPr>
            <w:tcW w:w="851" w:type="dxa"/>
          </w:tcPr>
          <w:p w14:paraId="5A863944" w14:textId="77777777" w:rsidR="00DB1555" w:rsidRPr="00FC7811" w:rsidRDefault="00DB1555" w:rsidP="00AA0C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FC781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AL</w:t>
            </w:r>
          </w:p>
        </w:tc>
        <w:tc>
          <w:tcPr>
            <w:tcW w:w="850" w:type="dxa"/>
          </w:tcPr>
          <w:p w14:paraId="6A4FCDC7" w14:textId="77777777" w:rsidR="00DB1555" w:rsidRPr="00FC7811" w:rsidRDefault="00DB1555" w:rsidP="00AA0C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FC781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Direkt*</w:t>
            </w:r>
          </w:p>
        </w:tc>
        <w:tc>
          <w:tcPr>
            <w:tcW w:w="992" w:type="dxa"/>
          </w:tcPr>
          <w:p w14:paraId="12963099" w14:textId="77777777" w:rsidR="00DB1555" w:rsidRPr="00FC7811" w:rsidRDefault="00DB1555" w:rsidP="00AA0C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FC781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Kogu</w:t>
            </w:r>
          </w:p>
        </w:tc>
      </w:tr>
      <w:tr w:rsidR="00DB1555" w:rsidRPr="00FC7811" w14:paraId="6CB92032" w14:textId="77777777" w:rsidTr="005C11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0D9517D8" w14:textId="77777777" w:rsidR="00DB1555" w:rsidRPr="00FC7811" w:rsidRDefault="00DB1555" w:rsidP="00AA0CA0">
            <w:pPr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</w:rPr>
            </w:pPr>
            <w:r w:rsidRPr="00FC7811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</w:rPr>
              <w:t xml:space="preserve">alle </w:t>
            </w:r>
          </w:p>
        </w:tc>
        <w:tc>
          <w:tcPr>
            <w:tcW w:w="851" w:type="dxa"/>
          </w:tcPr>
          <w:p w14:paraId="2BC0744A" w14:textId="77777777" w:rsidR="00DB1555" w:rsidRPr="00FC7811" w:rsidRDefault="00DB1555" w:rsidP="00AA0C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FC781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14:paraId="113A04EA" w14:textId="77777777" w:rsidR="00DB1555" w:rsidRPr="00FC7811" w:rsidRDefault="00DB1555" w:rsidP="00AA0C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FC781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9DB4A2A" w14:textId="77777777" w:rsidR="00DB1555" w:rsidRPr="00FC7811" w:rsidRDefault="00DB1555" w:rsidP="00AA0C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14:paraId="1515106F" w14:textId="77777777" w:rsidR="00DB1555" w:rsidRPr="000238A6" w:rsidRDefault="00DB1555" w:rsidP="00DB1555">
      <w:pPr>
        <w:rPr>
          <w:rFonts w:ascii="Arial" w:hAnsi="Arial" w:cs="Arial"/>
          <w:i/>
          <w:iCs/>
          <w:sz w:val="16"/>
          <w:szCs w:val="16"/>
        </w:rPr>
      </w:pPr>
      <w:r w:rsidRPr="000238A6">
        <w:rPr>
          <w:rFonts w:ascii="Arial" w:hAnsi="Arial" w:cs="Arial"/>
          <w:i/>
          <w:iCs/>
          <w:sz w:val="16"/>
          <w:szCs w:val="16"/>
        </w:rPr>
        <w:t>* Direktzahlung oder -erledigung</w:t>
      </w:r>
    </w:p>
    <w:p w14:paraId="642425F3" w14:textId="77777777" w:rsidR="00DB1555" w:rsidRPr="00FC7811" w:rsidRDefault="00DB1555" w:rsidP="00DB155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Gitternetztabelle5dunkelAkzent1"/>
        <w:tblW w:w="9067" w:type="dxa"/>
        <w:tblLook w:val="04A0" w:firstRow="1" w:lastRow="0" w:firstColumn="1" w:lastColumn="0" w:noHBand="0" w:noVBand="1"/>
      </w:tblPr>
      <w:tblGrid>
        <w:gridCol w:w="988"/>
        <w:gridCol w:w="8079"/>
      </w:tblGrid>
      <w:tr w:rsidR="00DB1555" w:rsidRPr="00FC7811" w14:paraId="52F9C102" w14:textId="77777777" w:rsidTr="009146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9D0BAE2" w14:textId="77777777" w:rsidR="00DB1555" w:rsidRPr="00FC7811" w:rsidRDefault="00DB1555" w:rsidP="00AA0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7811">
              <w:rPr>
                <w:rFonts w:ascii="Arial" w:hAnsi="Arial" w:cs="Arial"/>
                <w:sz w:val="20"/>
                <w:szCs w:val="20"/>
              </w:rPr>
              <w:t>Kapitel</w:t>
            </w:r>
          </w:p>
        </w:tc>
        <w:tc>
          <w:tcPr>
            <w:tcW w:w="8079" w:type="dxa"/>
          </w:tcPr>
          <w:p w14:paraId="379E679D" w14:textId="77777777" w:rsidR="00DB1555" w:rsidRPr="00FC7811" w:rsidRDefault="00DB1555" w:rsidP="00AA0CA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C7811">
              <w:rPr>
                <w:rFonts w:ascii="Arial" w:hAnsi="Arial" w:cs="Arial"/>
                <w:sz w:val="20"/>
                <w:szCs w:val="20"/>
              </w:rPr>
              <w:t>Sozialhilfehandbuch Zürich</w:t>
            </w:r>
          </w:p>
        </w:tc>
      </w:tr>
      <w:tr w:rsidR="00DB1555" w:rsidRPr="00FC7811" w14:paraId="47BBC993" w14:textId="77777777" w:rsidTr="009146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26E54CC" w14:textId="77777777" w:rsidR="00DB1555" w:rsidRPr="00FC7811" w:rsidRDefault="00DB1555" w:rsidP="00AA0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7811">
              <w:rPr>
                <w:rFonts w:ascii="Arial" w:hAnsi="Arial" w:cs="Arial"/>
                <w:sz w:val="20"/>
                <w:szCs w:val="20"/>
              </w:rPr>
              <w:t xml:space="preserve">  5.1.03</w:t>
            </w:r>
          </w:p>
        </w:tc>
        <w:tc>
          <w:tcPr>
            <w:tcW w:w="8079" w:type="dxa"/>
          </w:tcPr>
          <w:p w14:paraId="6DB8059A" w14:textId="77777777" w:rsidR="00DB1555" w:rsidRPr="00FC7811" w:rsidRDefault="00DB1555" w:rsidP="00AA0CA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C7811">
              <w:rPr>
                <w:rFonts w:ascii="Arial" w:hAnsi="Arial" w:cs="Arial"/>
                <w:sz w:val="20"/>
                <w:szCs w:val="20"/>
              </w:rPr>
              <w:t>Subsidiaritätsprinzip in der Sozialhilfe</w:t>
            </w:r>
          </w:p>
        </w:tc>
      </w:tr>
      <w:tr w:rsidR="00DB1555" w:rsidRPr="00FC7811" w14:paraId="5EC3849D" w14:textId="77777777" w:rsidTr="009146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A30E426" w14:textId="77777777" w:rsidR="00DB1555" w:rsidRPr="00FC7811" w:rsidRDefault="00DB1555" w:rsidP="00AA0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7811">
              <w:rPr>
                <w:rFonts w:ascii="Arial" w:hAnsi="Arial" w:cs="Arial"/>
                <w:sz w:val="20"/>
                <w:szCs w:val="20"/>
              </w:rPr>
              <w:t xml:space="preserve">  9.5.01</w:t>
            </w:r>
          </w:p>
        </w:tc>
        <w:tc>
          <w:tcPr>
            <w:tcW w:w="8079" w:type="dxa"/>
          </w:tcPr>
          <w:p w14:paraId="10AD2DD2" w14:textId="77777777" w:rsidR="00DB1555" w:rsidRPr="00FC7811" w:rsidRDefault="00DB1555" w:rsidP="00AA0C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C7811">
              <w:rPr>
                <w:rFonts w:ascii="Arial" w:hAnsi="Arial" w:cs="Arial"/>
                <w:sz w:val="20"/>
                <w:szCs w:val="20"/>
              </w:rPr>
              <w:t>AHV-Vorbezug</w:t>
            </w:r>
          </w:p>
        </w:tc>
      </w:tr>
      <w:tr w:rsidR="00DB1555" w:rsidRPr="00FC7811" w14:paraId="06AB5307" w14:textId="77777777" w:rsidTr="009146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DC36523" w14:textId="77777777" w:rsidR="00DB1555" w:rsidRPr="00FC7811" w:rsidRDefault="00DB1555" w:rsidP="00AA0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7811">
              <w:rPr>
                <w:rFonts w:ascii="Arial" w:hAnsi="Arial" w:cs="Arial"/>
                <w:sz w:val="20"/>
                <w:szCs w:val="20"/>
              </w:rPr>
              <w:t>11.1.02</w:t>
            </w:r>
          </w:p>
        </w:tc>
        <w:tc>
          <w:tcPr>
            <w:tcW w:w="8079" w:type="dxa"/>
          </w:tcPr>
          <w:p w14:paraId="1C0BAAFC" w14:textId="77777777" w:rsidR="00DB1555" w:rsidRPr="00FC7811" w:rsidRDefault="00DB1555" w:rsidP="00AA0CA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C7811">
              <w:rPr>
                <w:rFonts w:ascii="Arial" w:hAnsi="Arial" w:cs="Arial"/>
                <w:sz w:val="20"/>
                <w:szCs w:val="20"/>
              </w:rPr>
              <w:t>Alters- und Hinterlassenenversicherung (AHV)</w:t>
            </w:r>
          </w:p>
        </w:tc>
      </w:tr>
      <w:bookmarkEnd w:id="2"/>
    </w:tbl>
    <w:p w14:paraId="79184C5F" w14:textId="77777777" w:rsidR="006C6EB5" w:rsidRPr="00DB1555" w:rsidRDefault="006C6EB5" w:rsidP="00DB1555">
      <w:pPr>
        <w:rPr>
          <w:rFonts w:ascii="Arial" w:hAnsi="Arial" w:cs="Arial"/>
          <w:sz w:val="20"/>
          <w:szCs w:val="20"/>
        </w:rPr>
      </w:pPr>
    </w:p>
    <w:sectPr w:rsidR="006C6EB5" w:rsidRPr="00DB1555" w:rsidSect="005C3FB0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90"/>
    <w:rsid w:val="000D61D4"/>
    <w:rsid w:val="005C1174"/>
    <w:rsid w:val="005C3FB0"/>
    <w:rsid w:val="005E37AE"/>
    <w:rsid w:val="006C6EB5"/>
    <w:rsid w:val="0089684B"/>
    <w:rsid w:val="0091460C"/>
    <w:rsid w:val="00DB1555"/>
    <w:rsid w:val="00E63790"/>
    <w:rsid w:val="00F4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E440BC"/>
  <w15:chartTrackingRefBased/>
  <w15:docId w15:val="{1FE2E0A6-36E0-1B41-8CAA-3B3F68B4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4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63790"/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63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63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berschrift3">
    <w:name w:val="heading 3"/>
    <w:aliases w:val="UebSch12"/>
    <w:basedOn w:val="Standard"/>
    <w:next w:val="Standard"/>
    <w:link w:val="berschrift3Zchn"/>
    <w:uiPriority w:val="4"/>
    <w:unhideWhenUsed/>
    <w:qFormat/>
    <w:rsid w:val="00E63790"/>
    <w:pPr>
      <w:keepNext/>
      <w:keepLines/>
      <w:spacing w:before="160" w:after="80"/>
      <w:outlineLvl w:val="2"/>
    </w:pPr>
    <w:rPr>
      <w:rFonts w:eastAsiaTheme="majorEastAsia" w:cstheme="majorBidi"/>
      <w:color w:val="374C80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63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74C80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63790"/>
    <w:pPr>
      <w:keepNext/>
      <w:keepLines/>
      <w:spacing w:before="80" w:after="40"/>
      <w:outlineLvl w:val="4"/>
    </w:pPr>
    <w:rPr>
      <w:rFonts w:eastAsiaTheme="majorEastAsia" w:cstheme="majorBidi"/>
      <w:color w:val="374C80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637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637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637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637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63790"/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63790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berschrift3Zchn">
    <w:name w:val="Überschrift 3 Zchn"/>
    <w:aliases w:val="UebSch12 Zchn"/>
    <w:basedOn w:val="Absatz-Standardschriftart"/>
    <w:link w:val="berschrift3"/>
    <w:uiPriority w:val="4"/>
    <w:rsid w:val="00E63790"/>
    <w:rPr>
      <w:rFonts w:eastAsiaTheme="majorEastAsia" w:cstheme="majorBidi"/>
      <w:color w:val="374C80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63790"/>
    <w:rPr>
      <w:rFonts w:eastAsiaTheme="majorEastAsia" w:cstheme="majorBidi"/>
      <w:i/>
      <w:iCs/>
      <w:color w:val="374C80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63790"/>
    <w:rPr>
      <w:rFonts w:eastAsiaTheme="majorEastAsia" w:cstheme="majorBidi"/>
      <w:color w:val="374C80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6379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6379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6379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637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637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63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6379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63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637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6379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6379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63790"/>
    <w:rPr>
      <w:i/>
      <w:iCs/>
      <w:color w:val="374C80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63790"/>
    <w:pPr>
      <w:pBdr>
        <w:top w:val="single" w:sz="4" w:space="10" w:color="374C80" w:themeColor="accent1" w:themeShade="BF"/>
        <w:bottom w:val="single" w:sz="4" w:space="10" w:color="374C80" w:themeColor="accent1" w:themeShade="BF"/>
      </w:pBdr>
      <w:spacing w:before="360" w:after="360"/>
      <w:ind w:left="864" w:right="864"/>
      <w:jc w:val="center"/>
    </w:pPr>
    <w:rPr>
      <w:i/>
      <w:iCs/>
      <w:color w:val="374C80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63790"/>
    <w:rPr>
      <w:i/>
      <w:iCs/>
      <w:color w:val="374C80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63790"/>
    <w:rPr>
      <w:b/>
      <w:bCs/>
      <w:smallCaps/>
      <w:color w:val="374C80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E63790"/>
    <w:rPr>
      <w:rFonts w:ascii="Arial" w:hAnsi="Arial"/>
      <w:color w:val="9454C3" w:themeColor="hyperlink"/>
      <w:sz w:val="22"/>
      <w:u w:val="single"/>
    </w:rPr>
  </w:style>
  <w:style w:type="table" w:styleId="Gitternetztabelle4Akzent1">
    <w:name w:val="Grid Table 4 Accent 1"/>
    <w:basedOn w:val="NormaleTabelle"/>
    <w:uiPriority w:val="49"/>
    <w:rsid w:val="00E63790"/>
    <w:rPr>
      <w:rFonts w:eastAsia="Batang"/>
      <w:kern w:val="0"/>
      <w14:ligatures w14:val="none"/>
    </w:r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Gitternetztabelle5dunkelAkzent1">
    <w:name w:val="Grid Table 5 Dark Accent 1"/>
    <w:basedOn w:val="NormaleTabelle"/>
    <w:uiPriority w:val="50"/>
    <w:rsid w:val="00E63790"/>
    <w:rPr>
      <w:rFonts w:ascii="Arial" w:hAnsi="Arial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F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band1Vert">
      <w:tblPr/>
      <w:tcPr>
        <w:shd w:val="clear" w:color="auto" w:fill="B5C0DF" w:themeFill="accent1" w:themeFillTint="66"/>
      </w:tcPr>
    </w:tblStylePr>
    <w:tblStylePr w:type="band1Horz">
      <w:tblPr/>
      <w:tcPr>
        <w:shd w:val="clear" w:color="auto" w:fill="B5C0DF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hv-iv.ch" TargetMode="External"/></Relationships>
</file>

<file path=word/theme/theme1.xml><?xml version="1.0" encoding="utf-8"?>
<a:theme xmlns:a="http://schemas.openxmlformats.org/drawingml/2006/main" name="Office">
  <a:themeElements>
    <a:clrScheme name="Warmes Blau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Rinke</dc:creator>
  <cp:keywords/>
  <dc:description/>
  <cp:lastModifiedBy>Brigitte Rinke</cp:lastModifiedBy>
  <cp:revision>5</cp:revision>
  <dcterms:created xsi:type="dcterms:W3CDTF">2026-06-24T08:37:00Z</dcterms:created>
  <dcterms:modified xsi:type="dcterms:W3CDTF">2026-06-24T08:44:00Z</dcterms:modified>
</cp:coreProperties>
</file>